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leader="none" w:pos="0"/>
          <w:tab w:val="left" w:leader="none" w:pos="90"/>
        </w:tabs>
        <w:ind w:left="0" w:firstLine="0"/>
        <w:rPr>
          <w:shd w:fill="auto" w:val="clear"/>
        </w:rPr>
      </w:pPr>
      <w:bookmarkStart w:colFirst="0" w:colLast="0" w:name="_lm2c20wx97mo" w:id="0"/>
      <w:bookmarkEnd w:id="0"/>
      <w:r w:rsidDel="00000000" w:rsidR="00000000" w:rsidRPr="00000000">
        <w:rPr>
          <w:shd w:fill="auto" w:val="clear"/>
          <w:rtl w:val="0"/>
        </w:rPr>
        <w:t xml:space="preserve">Community Innovation Fund Application</w:t>
      </w:r>
    </w:p>
    <w:p w:rsidR="00000000" w:rsidDel="00000000" w:rsidP="00000000" w:rsidRDefault="00000000" w:rsidRPr="00000000" w14:paraId="00000002">
      <w:pPr>
        <w:pStyle w:val="Title"/>
        <w:tabs>
          <w:tab w:val="left" w:leader="none" w:pos="0"/>
          <w:tab w:val="left" w:leader="none" w:pos="90"/>
        </w:tabs>
        <w:spacing w:line="276" w:lineRule="auto"/>
        <w:ind w:left="0" w:firstLine="0"/>
        <w:rPr>
          <w:sz w:val="24"/>
          <w:szCs w:val="24"/>
        </w:rPr>
      </w:pPr>
      <w:bookmarkStart w:colFirst="0" w:colLast="0" w:name="_8zlz9pr3vxk9" w:id="1"/>
      <w:bookmarkEnd w:id="1"/>
      <w:r w:rsidDel="00000000" w:rsidR="00000000" w:rsidRPr="00000000">
        <w:rPr>
          <w:sz w:val="24"/>
          <w:szCs w:val="24"/>
          <w:rtl w:val="0"/>
        </w:rPr>
        <w:t xml:space="preserve">Budget Template</w:t>
      </w:r>
    </w:p>
    <w:p w:rsidR="00000000" w:rsidDel="00000000" w:rsidP="00000000" w:rsidRDefault="00000000" w:rsidRPr="00000000" w14:paraId="00000003">
      <w:pPr>
        <w:tabs>
          <w:tab w:val="left" w:leader="none" w:pos="0"/>
          <w:tab w:val="left" w:leader="none" w:pos="90"/>
        </w:tabs>
        <w:spacing w:line="276" w:lineRule="auto"/>
        <w:ind w:left="0" w:firstLine="0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0"/>
          <w:tab w:val="left" w:leader="none" w:pos="90"/>
        </w:tabs>
        <w:spacing w:line="276" w:lineRule="auto"/>
        <w:ind w:left="0" w:firstLine="0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60.0" w:type="dxa"/>
        <w:tblLayout w:type="fixed"/>
        <w:tblLook w:val="0400"/>
      </w:tblPr>
      <w:tblGrid>
        <w:gridCol w:w="4455"/>
        <w:gridCol w:w="1620"/>
        <w:gridCol w:w="1665"/>
        <w:gridCol w:w="1440"/>
        <w:tblGridChange w:id="0">
          <w:tblGrid>
            <w:gridCol w:w="4455"/>
            <w:gridCol w:w="1620"/>
            <w:gridCol w:w="1665"/>
            <w:gridCol w:w="1440"/>
          </w:tblGrid>
        </w:tblGridChange>
      </w:tblGrid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Items (list individual supplies, infrastructure, staff time, etc. in each row)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CIF Requested Funds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Matching Funds*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 Subtotals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ind w:left="0" w:firstLine="0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ind w:left="0" w:firstLine="0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ind w:left="0" w:firstLine="0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bfbfb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ind w:left="0" w:firstLine="0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bfbfb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bfbfb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bfbfb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tabs>
          <w:tab w:val="left" w:leader="none" w:pos="0"/>
          <w:tab w:val="left" w:leader="none" w:pos="90"/>
        </w:tabs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*Though not a requirement this year, projects that demonstrate 20% cash or in-kind matching funds may be given preference. Non-monetary contributions to the projects such as staff/volunteer time, equipment, or supplies may be counted towards in-kind match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24"/>
        <w:szCs w:val="24"/>
        <w:lang w:val="en"/>
      </w:rPr>
    </w:rPrDefault>
    <w:pPrDefault>
      <w:pPr>
        <w:ind w:left="72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28"/>
      <w:szCs w:val="28"/>
      <w:shd w:fill="cbdd44" w:val="clear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rFonts w:ascii="Avenir" w:cs="Avenir" w:eastAsia="Avenir" w:hAnsi="Avenir"/>
      <w:color w:val="66666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  <w:sz w:val="32"/>
      <w:szCs w:val="32"/>
      <w:shd w:fill="10acc6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