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t xml:space="preserve">SOLICITUD DEL FONDO COMUNITARIO DE INNOVACIÓN RETHINK WASTE</w:t>
      </w:r>
    </w:p>
    <w:p>
      <w:pPr>
        <w:spacing w:before="15"/>
        <w:ind w:left="100" w:right="0" w:firstLine="0"/>
        <w:jc w:val="left"/>
        <w:rPr>
          <w:b/>
          <w:sz w:val="28"/>
        </w:rPr>
      </w:pPr>
      <w:r>
        <w:rPr>
          <w:b/>
          <w:color w:val="000000"/>
          <w:sz w:val="28"/>
          <w:shd w:fill="0FABC6" w:color="auto" w:val="clear"/>
        </w:rPr>
        <w:t xml:space="preserve">Pautas de aplicación</w:t>
      </w:r>
    </w:p>
    <w:p>
      <w:pPr>
        <w:pStyle w:val="BodyText"/>
        <w:spacing w:before="11"/>
        <w:rPr>
          <w:b/>
          <w:sz w:val="31"/>
        </w:rPr>
      </w:pPr>
    </w:p>
    <w:p>
      <w:pPr>
        <w:pStyle w:val="BodyText"/>
        <w:spacing w:line="288" w:lineRule="auto"/>
        <w:ind w:left="100" w:right="100"/>
      </w:pPr>
      <w:r>
        <w:t xml:space="preserve">El Proyecto Rethink Waste de The Environmental Center proporcionará un total de $40,000 premios a individuos, negocios u organizaciones comunitarias para implementar proyectos de reducción o recuperación de desechos en todo el Condado de Deschutes.</w:t>
      </w:r>
      <w:r>
        <w:t xml:space="preserve"> </w:t>
      </w:r>
      <w:r>
        <w:t xml:space="preserve">A cada proyecto le pueden ser otorgados hasta $5,000.</w:t>
      </w:r>
      <w:r>
        <w:t xml:space="preserve"> </w:t>
      </w:r>
      <w:r>
        <w:t xml:space="preserve">No hay un presupuesto/monto mínimo de adjudicación del proyecto.</w:t>
      </w:r>
      <w:r>
        <w:t xml:space="preserve"> </w:t>
      </w:r>
      <w:r>
        <w:t xml:space="preserve">El 20% de los fondos del proyecto deben proceder de fondos de contrapartida (en efectivo o en especie).</w:t>
      </w:r>
      <w:r>
        <w:t xml:space="preserve"> </w:t>
      </w:r>
      <w:r>
        <w:t xml:space="preserve">Dependiendo de las necesidades presupuestarias del proyecto, en 2023 se financiarán de 8 a 12 proyectos.</w:t>
      </w:r>
    </w:p>
    <w:p>
      <w:pPr>
        <w:pStyle w:val="BodyText"/>
        <w:spacing w:before="4"/>
        <w:rPr>
          <w:sz w:val="26"/>
        </w:rPr>
      </w:pPr>
    </w:p>
    <w:p>
      <w:pPr>
        <w:pStyle w:val="BodyText"/>
        <w:spacing w:line="288" w:lineRule="auto" w:before="1"/>
        <w:ind w:left="100" w:right="174"/>
      </w:pPr>
      <w:r>
        <w:t xml:space="preserve">Estos fondos se pueden utilizar para materiales, infraestructura o tiempo.</w:t>
      </w:r>
      <w:r>
        <w:t xml:space="preserve"> </w:t>
      </w:r>
      <w:r>
        <w:t xml:space="preserve">El trabajo debe apoyar la equidad y la accesibilidad en nuestras comunidades.</w:t>
      </w:r>
      <w:r>
        <w:t xml:space="preserve"> </w:t>
      </w:r>
      <w:r>
        <w:t xml:space="preserve">Los proyectos deben tener resultados medibles, por ejemplo, la cantidad de residuos evitados, el aumento de los residuos reciclados, los miembros de la comunidad alcanzados, la cantidad de residuos compostados, etc. El trabajo debe planificar para el éxito continuado más allá de este período de financiación.</w:t>
      </w:r>
    </w:p>
    <w:p>
      <w:pPr>
        <w:pStyle w:val="BodyText"/>
        <w:spacing w:before="4"/>
        <w:rPr>
          <w:sz w:val="31"/>
        </w:rPr>
      </w:pPr>
    </w:p>
    <w:p>
      <w:pPr>
        <w:pStyle w:val="Heading1"/>
      </w:pPr>
      <w:r>
        <w:rPr>
          <w:color w:val="000000"/>
          <w:shd w:fill="CBDD44" w:color="auto" w:val="clear"/>
          <w:rFonts w:ascii="Times New Roman"/>
        </w:rPr>
        <w:t xml:space="preserve"> </w:t>
      </w:r>
      <w:r>
        <w:rPr>
          <w:color w:val="000000"/>
          <w:shd w:fill="CBDD44" w:color="auto" w:val="clear"/>
        </w:rPr>
        <w:t xml:space="preserve">Elegibilidad</w:t>
      </w:r>
    </w:p>
    <w:p>
      <w:pPr>
        <w:pStyle w:val="ListParagraph"/>
        <w:numPr>
          <w:ilvl w:val="0"/>
          <w:numId w:val="1"/>
        </w:numPr>
        <w:tabs>
          <w:tab w:pos="819" w:val="left" w:leader="none"/>
          <w:tab w:pos="820" w:val="left" w:leader="none"/>
        </w:tabs>
        <w:spacing w:line="288" w:lineRule="auto" w:before="133" w:after="0"/>
        <w:ind w:left="820" w:right="118" w:hanging="360"/>
        <w:jc w:val="left"/>
        <w:rPr>
          <w:b/>
          <w:sz w:val="22"/>
        </w:rPr>
      </w:pPr>
      <w:r>
        <w:rPr>
          <w:sz w:val="22"/>
        </w:rPr>
        <w:t xml:space="preserve">Individuos, negocios y organizaciones comunitarias en el Condado de Deschutes o un proyecto que afecta en gran medida al Condado de Deschutes y/o a sus residentes.</w:t>
      </w:r>
      <w:r>
        <w:rPr>
          <w:sz w:val="22"/>
        </w:rPr>
        <w:t xml:space="preserve"> </w:t>
      </w:r>
      <w:r>
        <w:rPr>
          <w:sz w:val="22"/>
        </w:rPr>
        <w:t xml:space="preserve">$15,000 del presupuesto total de $40,000 proyectos serán otorgados a proyectos que tengan lugar en o en gran parte impactan destinos de visitantes, tales como una propiedad de alojamiento de visitantes, restaurante / restaurante, parque / sendero/ área de la naturaleza, empresa de servicios/ actividad, museo / galería, lugar de entretenimiento.</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 xml:space="preserve">La </w:t>
      </w:r>
      <w:hyperlink r:id="rId7">
        <w:r>
          <w:rPr>
            <w:color w:val="1154CC"/>
            <w:sz w:val="22"/>
            <w:u w:val="thick" w:color="1154CC"/>
          </w:rPr>
          <w:t xml:space="preserve">aplicación</w:t>
        </w:r>
      </w:hyperlink>
    </w:p>
    <w:p>
      <w:pPr>
        <w:pStyle w:val="BodyText"/>
        <w:spacing w:line="288" w:lineRule="auto" w:before="51"/>
        <w:ind w:left="820" w:right="100"/>
      </w:pPr>
      <w:r>
        <w:t xml:space="preserve">(</w:t>
      </w:r>
      <w:hyperlink r:id="rId7">
        <w:r>
          <w:rPr>
            <w:color w:val="1154CC"/>
            <w:u w:val="thick" w:color="1154CC"/>
          </w:rPr>
          <w:t xml:space="preserve">https://envirocenter.org/programs/rethink-waste-project/community-innovation-fund/co</w:t>
        </w:r>
      </w:hyperlink>
      <w:r>
        <w:rPr>
          <w:color w:val="1154CC"/>
        </w:rPr>
        <w:t xml:space="preserve"> </w:t>
      </w:r>
      <w:hyperlink r:id="rId7">
        <w:r>
          <w:rPr>
            <w:color w:val="1154CC"/>
            <w:u w:val="thick" w:color="1154CC"/>
          </w:rPr>
          <w:t xml:space="preserve">mmunity-innovation-fund-application-2023/</w:t>
        </w:r>
      </w:hyperlink>
      <w:r>
        <w:t xml:space="preserve">) está completada, enviada, y todas las preguntas fueron contestadas completamente.</w:t>
      </w:r>
      <w:r>
        <w:t xml:space="preserve"> </w:t>
      </w:r>
      <w:r>
        <w:t xml:space="preserve">Por favor, consulte las opciones alternativas de presentación de solicitudes a continuación.</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 xml:space="preserve">Los proyectos deben estar terminados para el 30 de diciembre de 2023.</w:t>
      </w:r>
    </w:p>
    <w:p>
      <w:pPr>
        <w:pStyle w:val="BodyText"/>
        <w:spacing w:before="9"/>
        <w:rPr>
          <w:sz w:val="35"/>
        </w:rPr>
      </w:pPr>
    </w:p>
    <w:p>
      <w:pPr>
        <w:pStyle w:val="Heading1"/>
      </w:pPr>
      <w:r>
        <w:rPr>
          <w:color w:val="000000"/>
          <w:shd w:fill="CBDD44" w:color="auto" w:val="clear"/>
          <w:rFonts w:ascii="Times New Roman"/>
        </w:rPr>
        <w:t xml:space="preserve"> </w:t>
      </w:r>
      <w:r>
        <w:rPr>
          <w:color w:val="000000"/>
          <w:shd w:fill="CBDD44" w:color="auto" w:val="clear"/>
        </w:rPr>
        <w:t xml:space="preserve">Ideas de lo que​ ​se puede​ ​financiar</w:t>
      </w:r>
    </w:p>
    <w:p>
      <w:pPr>
        <w:pStyle w:val="ListParagraph"/>
        <w:numPr>
          <w:ilvl w:val="0"/>
          <w:numId w:val="1"/>
        </w:numPr>
        <w:tabs>
          <w:tab w:pos="819" w:val="left" w:leader="none"/>
          <w:tab w:pos="820" w:val="left" w:leader="none"/>
        </w:tabs>
        <w:spacing w:line="240" w:lineRule="auto" w:before="133" w:after="0"/>
        <w:ind w:left="820" w:right="0" w:hanging="360"/>
        <w:jc w:val="left"/>
        <w:rPr>
          <w:sz w:val="22"/>
        </w:rPr>
      </w:pPr>
      <w:r>
        <w:rPr>
          <w:sz w:val="22"/>
        </w:rPr>
        <w:t xml:space="preserve">Alternativas reutilizables a los productos de un solo uso (como tazas reutilizables, vajilla, servilletas)</w:t>
      </w:r>
    </w:p>
    <w:p>
      <w:pPr>
        <w:pStyle w:val="ListParagraph"/>
        <w:numPr>
          <w:ilvl w:val="0"/>
          <w:numId w:val="1"/>
        </w:numPr>
        <w:tabs>
          <w:tab w:pos="819" w:val="left" w:leader="none"/>
          <w:tab w:pos="820" w:val="left" w:leader="none"/>
        </w:tabs>
        <w:spacing w:line="288" w:lineRule="auto" w:before="51" w:after="0"/>
        <w:ind w:left="820" w:right="723" w:hanging="360"/>
        <w:jc w:val="left"/>
        <w:rPr>
          <w:sz w:val="22"/>
        </w:rPr>
      </w:pPr>
      <w:r>
        <w:rPr>
          <w:sz w:val="22"/>
        </w:rPr>
        <w:t xml:space="preserve">Materiales o infraestructura relacionados con el desvío de residuos (tales como contenedores de composta o contenedores de reciclaje)</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 xml:space="preserve">Incentivos, estipendios o salarios para que los miembros de la comunidad o el personal implementen el proyecto</w:t>
      </w:r>
    </w:p>
    <w:p>
      <w:pPr>
        <w:pStyle w:val="BodyText"/>
        <w:spacing w:before="9"/>
        <w:rPr>
          <w:sz w:val="30"/>
        </w:rPr>
      </w:pPr>
    </w:p>
    <w:p>
      <w:pPr>
        <w:spacing w:line="288" w:lineRule="auto" w:before="0"/>
        <w:ind w:left="100" w:right="0" w:firstLine="0"/>
        <w:jc w:val="left"/>
        <w:rPr>
          <w:sz w:val="22"/>
        </w:rPr>
      </w:pPr>
      <w:r>
        <w:rPr>
          <w:sz w:val="22"/>
        </w:rPr>
        <w:t xml:space="preserve">Envíe cualquier pregunta o material de solicitud con el asunto "</w:t>
      </w:r>
      <w:r>
        <w:rPr>
          <w:sz w:val="22"/>
          <w:b/>
        </w:rPr>
        <w:t xml:space="preserve">2023 Rethink Waste Community Innovation Fund</w:t>
      </w:r>
      <w:r>
        <w:rPr>
          <w:sz w:val="22"/>
        </w:rPr>
        <w:t xml:space="preserve">" en el asunto a: </w:t>
      </w:r>
      <w:hyperlink r:id="rId8">
        <w:r>
          <w:rPr>
            <w:color w:val="1154CC"/>
            <w:sz w:val="22"/>
            <w:u w:val="thick" w:color="1154CC"/>
          </w:rPr>
          <w:t xml:space="preserve">udara@envirocenter.org</w:t>
        </w:r>
      </w:hyperlink>
    </w:p>
    <w:p>
      <w:pPr>
        <w:spacing w:after="0" w:line="288" w:lineRule="auto"/>
        <w:jc w:val="left"/>
        <w:rPr>
          <w:sz w:val="22"/>
        </w:rPr>
        <w:sectPr>
          <w:headerReference w:type="default" r:id="rId5"/>
          <w:footerReference w:type="default" r:id="rId6"/>
          <w:type w:val="continuous"/>
          <w:pgSz w:w="12240" w:h="15840"/>
          <w:pgMar w:header="750" w:footer="804" w:top="2180" w:bottom="1000" w:left="1340" w:right="1340"/>
          <w:pgNumType w:start="1"/>
        </w:sectPr>
      </w:pPr>
    </w:p>
    <w:p>
      <w:pPr>
        <w:pStyle w:val="BodyText"/>
        <w:rPr>
          <w:sz w:val="20"/>
        </w:rPr>
      </w:pPr>
    </w:p>
    <w:p>
      <w:pPr>
        <w:pStyle w:val="BodyText"/>
        <w:rPr>
          <w:sz w:val="20"/>
        </w:rPr>
      </w:pPr>
    </w:p>
    <w:p>
      <w:pPr>
        <w:pStyle w:val="BodyText"/>
        <w:rPr>
          <w:sz w:val="20"/>
        </w:rPr>
      </w:pPr>
    </w:p>
    <w:p>
      <w:pPr>
        <w:pStyle w:val="BodyText"/>
        <w:rPr>
          <w:sz w:val="21"/>
        </w:rPr>
      </w:pPr>
    </w:p>
    <w:p>
      <w:pPr>
        <w:pStyle w:val="Heading1"/>
        <w:spacing w:before="87"/>
      </w:pPr>
      <w:r>
        <w:rPr>
          <w:color w:val="000000"/>
          <w:shd w:fill="CBDD44" w:color="auto" w:val="clear"/>
          <w:rFonts w:ascii="Times New Roman"/>
        </w:rPr>
        <w:t xml:space="preserve"> </w:t>
      </w:r>
      <w:r>
        <w:rPr>
          <w:color w:val="000000"/>
          <w:shd w:fill="CBDD44" w:color="auto" w:val="clear"/>
        </w:rPr>
        <w:t xml:space="preserve">Calendario de aplicación y presentación de informes</w:t>
      </w:r>
    </w:p>
    <w:p>
      <w:pPr>
        <w:pStyle w:val="BodyText"/>
        <w:rPr>
          <w:sz w:val="20"/>
        </w:rPr>
      </w:pPr>
    </w:p>
    <w:p>
      <w:pPr>
        <w:pStyle w:val="BodyText"/>
        <w:rPr>
          <w:sz w:val="20"/>
        </w:rPr>
      </w:pPr>
    </w:p>
    <w:p>
      <w:pPr>
        <w:pStyle w:val="BodyText"/>
        <w:spacing w:before="11"/>
        <w:rPr>
          <w:sz w:val="19"/>
        </w:rPr>
      </w:pPr>
    </w:p>
    <w:tbl>
      <w:tblPr>
        <w:tblW w:w="0" w:type="auto"/>
        <w:jc w:val="left"/>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00"/>
        <w:gridCol w:w="2600"/>
      </w:tblGrid>
      <w:tr>
        <w:trPr>
          <w:trHeight w:val="479" w:hRule="atLeast"/>
        </w:trPr>
        <w:tc>
          <w:tcPr>
            <w:tcW w:w="4500" w:type="dxa"/>
            <w:shd w:val="clear" w:color="auto" w:fill="D4EFFD"/>
          </w:tcPr>
          <w:p>
            <w:pPr>
              <w:pStyle w:val="TableParagraph"/>
              <w:spacing w:before="122"/>
              <w:rPr>
                <w:b/>
                <w:sz w:val="22"/>
              </w:rPr>
            </w:pPr>
            <w:r>
              <w:rPr>
                <w:b/>
                <w:sz w:val="22"/>
              </w:rPr>
              <w:t xml:space="preserve">Qué</w:t>
            </w:r>
          </w:p>
        </w:tc>
        <w:tc>
          <w:tcPr>
            <w:tcW w:w="2600" w:type="dxa"/>
            <w:shd w:val="clear" w:color="auto" w:fill="D4EFFD"/>
          </w:tcPr>
          <w:p>
            <w:pPr>
              <w:pStyle w:val="TableParagraph"/>
              <w:spacing w:before="122"/>
              <w:rPr>
                <w:b/>
                <w:sz w:val="22"/>
              </w:rPr>
            </w:pPr>
            <w:r>
              <w:rPr>
                <w:b/>
                <w:sz w:val="22"/>
              </w:rPr>
              <w:t xml:space="preserve">Cuándo</w:t>
            </w:r>
          </w:p>
        </w:tc>
      </w:tr>
      <w:tr>
        <w:trPr>
          <w:trHeight w:val="460" w:hRule="atLeast"/>
        </w:trPr>
        <w:tc>
          <w:tcPr>
            <w:tcW w:w="4500" w:type="dxa"/>
          </w:tcPr>
          <w:p>
            <w:pPr>
              <w:pStyle w:val="TableParagraph"/>
              <w:spacing w:before="111"/>
              <w:rPr>
                <w:sz w:val="22"/>
              </w:rPr>
            </w:pPr>
            <w:r>
              <w:rPr>
                <w:sz w:val="22"/>
              </w:rPr>
              <w:t xml:space="preserve">La aplicación para 2023 se abre</w:t>
            </w:r>
          </w:p>
        </w:tc>
        <w:tc>
          <w:tcPr>
            <w:tcW w:w="2600" w:type="dxa"/>
          </w:tcPr>
          <w:p>
            <w:pPr>
              <w:pStyle w:val="TableParagraph"/>
              <w:spacing w:before="111"/>
              <w:rPr>
                <w:sz w:val="22"/>
              </w:rPr>
            </w:pPr>
            <w:r>
              <w:rPr>
                <w:sz w:val="22"/>
              </w:rPr>
              <w:t xml:space="preserve">A principios de enero</w:t>
            </w:r>
          </w:p>
        </w:tc>
      </w:tr>
      <w:tr>
        <w:trPr>
          <w:trHeight w:val="479" w:hRule="atLeast"/>
        </w:trPr>
        <w:tc>
          <w:tcPr>
            <w:tcW w:w="4500" w:type="dxa"/>
          </w:tcPr>
          <w:p>
            <w:pPr>
              <w:pStyle w:val="TableParagraph"/>
              <w:spacing w:before="120"/>
              <w:rPr>
                <w:sz w:val="22"/>
              </w:rPr>
            </w:pPr>
            <w:r>
              <w:rPr>
                <w:sz w:val="22"/>
              </w:rPr>
              <w:t xml:space="preserve">Sesión informativa de invierno*</w:t>
            </w:r>
          </w:p>
        </w:tc>
        <w:tc>
          <w:tcPr>
            <w:tcW w:w="2600" w:type="dxa"/>
          </w:tcPr>
          <w:p>
            <w:pPr>
              <w:pStyle w:val="TableParagraph"/>
              <w:spacing w:before="120"/>
              <w:rPr>
                <w:sz w:val="22"/>
              </w:rPr>
            </w:pPr>
            <w:r>
              <w:rPr>
                <w:sz w:val="22"/>
              </w:rPr>
              <w:t xml:space="preserve">7 de febrero de 1 a 2 pm</w:t>
            </w:r>
          </w:p>
        </w:tc>
      </w:tr>
      <w:tr>
        <w:trPr>
          <w:trHeight w:val="460" w:hRule="atLeast"/>
        </w:trPr>
        <w:tc>
          <w:tcPr>
            <w:tcW w:w="4500" w:type="dxa"/>
            <w:shd w:val="clear" w:color="auto" w:fill="EFEFEF"/>
          </w:tcPr>
          <w:p>
            <w:pPr>
              <w:pStyle w:val="TableParagraph"/>
              <w:spacing w:before="109"/>
              <w:rPr>
                <w:sz w:val="22"/>
              </w:rPr>
            </w:pPr>
            <w:r>
              <w:rPr>
                <w:sz w:val="22"/>
              </w:rPr>
              <w:t xml:space="preserve">Fecha límite de aplicaciones de invierno</w:t>
            </w:r>
          </w:p>
        </w:tc>
        <w:tc>
          <w:tcPr>
            <w:tcW w:w="2600" w:type="dxa"/>
            <w:shd w:val="clear" w:color="auto" w:fill="EFEFEF"/>
          </w:tcPr>
          <w:p>
            <w:pPr>
              <w:pStyle w:val="TableParagraph"/>
              <w:spacing w:before="109"/>
              <w:rPr>
                <w:sz w:val="22"/>
              </w:rPr>
            </w:pPr>
            <w:r>
              <w:rPr>
                <w:sz w:val="22"/>
              </w:rPr>
              <w:t xml:space="preserve">1 de abril</w:t>
            </w:r>
          </w:p>
        </w:tc>
      </w:tr>
      <w:tr>
        <w:trPr>
          <w:trHeight w:val="479" w:hRule="atLeast"/>
        </w:trPr>
        <w:tc>
          <w:tcPr>
            <w:tcW w:w="4500" w:type="dxa"/>
          </w:tcPr>
          <w:p>
            <w:pPr>
              <w:pStyle w:val="TableParagraph"/>
              <w:spacing w:before="118"/>
              <w:rPr>
                <w:sz w:val="22"/>
              </w:rPr>
            </w:pPr>
            <w:r>
              <w:rPr>
                <w:sz w:val="22"/>
              </w:rPr>
              <w:t xml:space="preserve">Anuncio de los ganadores de invierno</w:t>
            </w:r>
          </w:p>
        </w:tc>
        <w:tc>
          <w:tcPr>
            <w:tcW w:w="2600" w:type="dxa"/>
          </w:tcPr>
          <w:p>
            <w:pPr>
              <w:pStyle w:val="TableParagraph"/>
              <w:spacing w:before="118"/>
              <w:rPr>
                <w:sz w:val="22"/>
              </w:rPr>
            </w:pPr>
            <w:r>
              <w:rPr>
                <w:sz w:val="22"/>
              </w:rPr>
              <w:t xml:space="preserve">Finales de abril</w:t>
            </w:r>
          </w:p>
        </w:tc>
      </w:tr>
      <w:tr>
        <w:trPr>
          <w:trHeight w:val="459" w:hRule="atLeast"/>
        </w:trPr>
        <w:tc>
          <w:tcPr>
            <w:tcW w:w="4500" w:type="dxa"/>
          </w:tcPr>
          <w:p>
            <w:pPr>
              <w:pStyle w:val="TableParagraph"/>
              <w:spacing w:before="107"/>
              <w:rPr>
                <w:sz w:val="22"/>
              </w:rPr>
            </w:pPr>
            <w:r>
              <w:rPr>
                <w:sz w:val="22"/>
              </w:rPr>
              <w:t xml:space="preserve">Sesión informativa de primavera*</w:t>
            </w:r>
          </w:p>
        </w:tc>
        <w:tc>
          <w:tcPr>
            <w:tcW w:w="2600" w:type="dxa"/>
          </w:tcPr>
          <w:p>
            <w:pPr>
              <w:pStyle w:val="TableParagraph"/>
              <w:spacing w:before="107"/>
              <w:rPr>
                <w:sz w:val="22"/>
              </w:rPr>
            </w:pPr>
            <w:r>
              <w:rPr>
                <w:sz w:val="22"/>
              </w:rPr>
              <w:t xml:space="preserve">9 de mayo de 1 a 2 pm</w:t>
            </w:r>
          </w:p>
        </w:tc>
      </w:tr>
      <w:tr>
        <w:trPr>
          <w:trHeight w:val="480" w:hRule="atLeast"/>
        </w:trPr>
        <w:tc>
          <w:tcPr>
            <w:tcW w:w="4500" w:type="dxa"/>
            <w:shd w:val="clear" w:color="auto" w:fill="EFEFEF"/>
          </w:tcPr>
          <w:p>
            <w:pPr>
              <w:pStyle w:val="TableParagraph"/>
              <w:spacing w:before="116"/>
              <w:rPr>
                <w:sz w:val="22"/>
              </w:rPr>
            </w:pPr>
            <w:r>
              <w:rPr>
                <w:sz w:val="22"/>
              </w:rPr>
              <w:t xml:space="preserve">Fecha de entrega de informe de progreso de invierno</w:t>
            </w:r>
          </w:p>
        </w:tc>
        <w:tc>
          <w:tcPr>
            <w:tcW w:w="2600" w:type="dxa"/>
            <w:shd w:val="clear" w:color="auto" w:fill="EFEFEF"/>
          </w:tcPr>
          <w:p>
            <w:pPr>
              <w:pStyle w:val="TableParagraph"/>
              <w:spacing w:before="116"/>
              <w:rPr>
                <w:sz w:val="22"/>
              </w:rPr>
            </w:pPr>
            <w:r>
              <w:rPr>
                <w:sz w:val="22"/>
              </w:rPr>
              <w:t xml:space="preserve">1 de julio</w:t>
            </w:r>
          </w:p>
        </w:tc>
      </w:tr>
      <w:tr>
        <w:trPr>
          <w:trHeight w:val="460" w:hRule="atLeast"/>
        </w:trPr>
        <w:tc>
          <w:tcPr>
            <w:tcW w:w="4500" w:type="dxa"/>
            <w:shd w:val="clear" w:color="auto" w:fill="EFEFEF"/>
          </w:tcPr>
          <w:p>
            <w:pPr>
              <w:pStyle w:val="TableParagraph"/>
              <w:rPr>
                <w:sz w:val="22"/>
              </w:rPr>
            </w:pPr>
            <w:r>
              <w:rPr>
                <w:sz w:val="22"/>
              </w:rPr>
              <w:t xml:space="preserve">Fecha límite de aplicaciones de primavera</w:t>
            </w:r>
          </w:p>
        </w:tc>
        <w:tc>
          <w:tcPr>
            <w:tcW w:w="2600" w:type="dxa"/>
            <w:shd w:val="clear" w:color="auto" w:fill="EFEFEF"/>
          </w:tcPr>
          <w:p>
            <w:pPr>
              <w:pStyle w:val="TableParagraph"/>
              <w:rPr>
                <w:sz w:val="22"/>
              </w:rPr>
            </w:pPr>
            <w:r>
              <w:rPr>
                <w:sz w:val="22"/>
              </w:rPr>
              <w:t xml:space="preserve">1 de julio</w:t>
            </w:r>
          </w:p>
        </w:tc>
      </w:tr>
      <w:tr>
        <w:trPr>
          <w:trHeight w:val="460" w:hRule="atLeast"/>
        </w:trPr>
        <w:tc>
          <w:tcPr>
            <w:tcW w:w="4500" w:type="dxa"/>
          </w:tcPr>
          <w:p>
            <w:pPr>
              <w:pStyle w:val="TableParagraph"/>
              <w:spacing w:before="114"/>
              <w:rPr>
                <w:sz w:val="22"/>
              </w:rPr>
            </w:pPr>
            <w:r>
              <w:rPr>
                <w:sz w:val="22"/>
              </w:rPr>
              <w:t xml:space="preserve">Anuncio de los ganadores de primavera</w:t>
            </w:r>
          </w:p>
        </w:tc>
        <w:tc>
          <w:tcPr>
            <w:tcW w:w="2600" w:type="dxa"/>
          </w:tcPr>
          <w:p>
            <w:pPr>
              <w:pStyle w:val="TableParagraph"/>
              <w:spacing w:before="114"/>
              <w:rPr>
                <w:sz w:val="22"/>
              </w:rPr>
            </w:pPr>
            <w:r>
              <w:rPr>
                <w:sz w:val="22"/>
              </w:rPr>
              <w:t xml:space="preserve">Finales de julio</w:t>
            </w:r>
          </w:p>
        </w:tc>
      </w:tr>
      <w:tr>
        <w:trPr>
          <w:trHeight w:val="480" w:hRule="atLeast"/>
        </w:trPr>
        <w:tc>
          <w:tcPr>
            <w:tcW w:w="4500" w:type="dxa"/>
          </w:tcPr>
          <w:p>
            <w:pPr>
              <w:pStyle w:val="TableParagraph"/>
              <w:spacing w:before="123"/>
              <w:rPr>
                <w:sz w:val="22"/>
              </w:rPr>
            </w:pPr>
            <w:r>
              <w:rPr>
                <w:sz w:val="22"/>
              </w:rPr>
              <w:t xml:space="preserve">Sesión informativa de verano*</w:t>
            </w:r>
          </w:p>
        </w:tc>
        <w:tc>
          <w:tcPr>
            <w:tcW w:w="2600" w:type="dxa"/>
          </w:tcPr>
          <w:p>
            <w:pPr>
              <w:pStyle w:val="TableParagraph"/>
              <w:spacing w:before="123"/>
              <w:rPr>
                <w:sz w:val="22"/>
              </w:rPr>
            </w:pPr>
            <w:r>
              <w:rPr>
                <w:sz w:val="22"/>
              </w:rPr>
              <w:t xml:space="preserve">8 de agosto de 1 a 2 pm</w:t>
            </w:r>
          </w:p>
        </w:tc>
      </w:tr>
      <w:tr>
        <w:trPr>
          <w:trHeight w:val="460" w:hRule="atLeast"/>
        </w:trPr>
        <w:tc>
          <w:tcPr>
            <w:tcW w:w="4500" w:type="dxa"/>
            <w:shd w:val="clear" w:color="auto" w:fill="EFEFEF"/>
          </w:tcPr>
          <w:p>
            <w:pPr>
              <w:pStyle w:val="TableParagraph"/>
              <w:spacing w:before="112"/>
              <w:rPr>
                <w:sz w:val="22"/>
              </w:rPr>
            </w:pPr>
            <w:r>
              <w:rPr>
                <w:sz w:val="22"/>
              </w:rPr>
              <w:t xml:space="preserve">Fecha de entrega de informe de progreso de primavera</w:t>
            </w:r>
          </w:p>
        </w:tc>
        <w:tc>
          <w:tcPr>
            <w:tcW w:w="2600" w:type="dxa"/>
            <w:shd w:val="clear" w:color="auto" w:fill="EFEFEF"/>
          </w:tcPr>
          <w:p>
            <w:pPr>
              <w:pStyle w:val="TableParagraph"/>
              <w:spacing w:before="112"/>
              <w:rPr>
                <w:sz w:val="22"/>
              </w:rPr>
            </w:pPr>
            <w:r>
              <w:rPr>
                <w:sz w:val="22"/>
              </w:rPr>
              <w:t xml:space="preserve">1 de octubre </w:t>
            </w:r>
          </w:p>
        </w:tc>
      </w:tr>
      <w:tr>
        <w:trPr>
          <w:trHeight w:val="479" w:hRule="atLeast"/>
        </w:trPr>
        <w:tc>
          <w:tcPr>
            <w:tcW w:w="4500" w:type="dxa"/>
            <w:shd w:val="clear" w:color="auto" w:fill="EFEFEF"/>
          </w:tcPr>
          <w:p>
            <w:pPr>
              <w:pStyle w:val="TableParagraph"/>
              <w:spacing w:before="121"/>
              <w:rPr>
                <w:sz w:val="22"/>
              </w:rPr>
            </w:pPr>
            <w:r>
              <w:rPr>
                <w:sz w:val="22"/>
              </w:rPr>
              <w:t xml:space="preserve">Fecha límite de aplicaciones de verano</w:t>
            </w:r>
          </w:p>
        </w:tc>
        <w:tc>
          <w:tcPr>
            <w:tcW w:w="2600" w:type="dxa"/>
            <w:shd w:val="clear" w:color="auto" w:fill="EFEFEF"/>
          </w:tcPr>
          <w:p>
            <w:pPr>
              <w:pStyle w:val="TableParagraph"/>
              <w:spacing w:before="121"/>
              <w:rPr>
                <w:sz w:val="22"/>
              </w:rPr>
            </w:pPr>
            <w:r>
              <w:rPr>
                <w:sz w:val="22"/>
              </w:rPr>
              <w:t xml:space="preserve">1 de octubre </w:t>
            </w:r>
          </w:p>
        </w:tc>
      </w:tr>
      <w:tr>
        <w:trPr>
          <w:trHeight w:val="460" w:hRule="atLeast"/>
        </w:trPr>
        <w:tc>
          <w:tcPr>
            <w:tcW w:w="4500" w:type="dxa"/>
          </w:tcPr>
          <w:p>
            <w:pPr>
              <w:pStyle w:val="TableParagraph"/>
              <w:spacing w:before="110"/>
              <w:rPr>
                <w:sz w:val="22"/>
              </w:rPr>
            </w:pPr>
            <w:r>
              <w:rPr>
                <w:sz w:val="22"/>
              </w:rPr>
              <w:t xml:space="preserve">Anuncio de los ganadores de verano</w:t>
            </w:r>
          </w:p>
        </w:tc>
        <w:tc>
          <w:tcPr>
            <w:tcW w:w="2600" w:type="dxa"/>
          </w:tcPr>
          <w:p>
            <w:pPr>
              <w:pStyle w:val="TableParagraph"/>
              <w:spacing w:before="110"/>
              <w:rPr>
                <w:sz w:val="22"/>
              </w:rPr>
            </w:pPr>
            <w:r>
              <w:rPr>
                <w:sz w:val="22"/>
              </w:rPr>
              <w:t xml:space="preserve">Finales de octubre</w:t>
            </w:r>
          </w:p>
        </w:tc>
      </w:tr>
      <w:tr>
        <w:trPr>
          <w:trHeight w:val="480" w:hRule="atLeast"/>
        </w:trPr>
        <w:tc>
          <w:tcPr>
            <w:tcW w:w="4500" w:type="dxa"/>
          </w:tcPr>
          <w:p>
            <w:pPr>
              <w:pStyle w:val="TableParagraph"/>
              <w:spacing w:before="119"/>
              <w:rPr>
                <w:sz w:val="22"/>
              </w:rPr>
            </w:pPr>
            <w:r>
              <w:rPr>
                <w:sz w:val="22"/>
              </w:rPr>
              <w:t xml:space="preserve">Completición de TODAS las actividades del proyecto</w:t>
            </w:r>
          </w:p>
        </w:tc>
        <w:tc>
          <w:tcPr>
            <w:tcW w:w="2600" w:type="dxa"/>
          </w:tcPr>
          <w:p>
            <w:pPr>
              <w:pStyle w:val="TableParagraph"/>
              <w:spacing w:before="119"/>
              <w:rPr>
                <w:sz w:val="22"/>
              </w:rPr>
            </w:pPr>
            <w:r>
              <w:rPr>
                <w:sz w:val="22"/>
              </w:rPr>
              <w:t xml:space="preserve">30 de diciembre de 2023</w:t>
            </w:r>
          </w:p>
        </w:tc>
      </w:tr>
      <w:tr>
        <w:trPr>
          <w:trHeight w:val="460" w:hRule="atLeast"/>
        </w:trPr>
        <w:tc>
          <w:tcPr>
            <w:tcW w:w="4500" w:type="dxa"/>
            <w:shd w:val="clear" w:color="auto" w:fill="EFEFEF"/>
          </w:tcPr>
          <w:p>
            <w:pPr>
              <w:pStyle w:val="TableParagraph"/>
              <w:spacing w:before="108"/>
              <w:rPr>
                <w:sz w:val="22"/>
              </w:rPr>
            </w:pPr>
            <w:r>
              <w:rPr>
                <w:sz w:val="22"/>
              </w:rPr>
              <w:t xml:space="preserve">Fecha de entrega para informe final</w:t>
            </w:r>
          </w:p>
        </w:tc>
        <w:tc>
          <w:tcPr>
            <w:tcW w:w="2600" w:type="dxa"/>
            <w:shd w:val="clear" w:color="auto" w:fill="EFEFEF"/>
          </w:tcPr>
          <w:p>
            <w:pPr>
              <w:pStyle w:val="TableParagraph"/>
              <w:spacing w:before="108"/>
              <w:rPr>
                <w:sz w:val="22"/>
              </w:rPr>
            </w:pPr>
            <w:r>
              <w:rPr>
                <w:sz w:val="22"/>
              </w:rPr>
              <w:t xml:space="preserve">30 de enero de 2024</w:t>
            </w:r>
          </w:p>
        </w:tc>
      </w:tr>
    </w:tbl>
    <w:p>
      <w:pPr>
        <w:pStyle w:val="BodyText"/>
        <w:rPr>
          <w:sz w:val="20"/>
        </w:rPr>
      </w:pPr>
    </w:p>
    <w:p>
      <w:pPr>
        <w:pStyle w:val="BodyText"/>
        <w:spacing w:before="1"/>
        <w:rPr>
          <w:sz w:val="29"/>
        </w:rPr>
      </w:pPr>
    </w:p>
    <w:p>
      <w:pPr>
        <w:pStyle w:val="BodyText"/>
        <w:spacing w:line="288" w:lineRule="auto" w:before="60"/>
        <w:ind w:left="820" w:right="180"/>
        <w:jc w:val="both"/>
      </w:pPr>
      <w:r>
        <w:rPr>
          <w:color w:val="202020"/>
        </w:rPr>
        <w:t xml:space="preserve">* Todas las sesiones informativas cubrirán la misma información y serán en gran medida un momento de preguntas y respuestas sobre el Fondo Comunitario para la Innovación o la solicitud.</w:t>
      </w:r>
      <w:r>
        <w:rPr>
          <w:color w:val="202020"/>
        </w:rPr>
        <w:t xml:space="preserve"> </w:t>
      </w:r>
      <w:r>
        <w:rPr>
          <w:color w:val="202020"/>
        </w:rPr>
        <w:t xml:space="preserve">Regístrese para una sesión informativa aquí:</w:t>
      </w:r>
      <w:r>
        <w:rPr>
          <w:color w:val="202020"/>
        </w:rPr>
        <w:t xml:space="preserve"> </w:t>
      </w:r>
      <w:hyperlink r:id="rId9">
        <w:r>
          <w:rPr>
            <w:color w:val="1154CC"/>
            <w:u w:val="thick" w:color="1154CC"/>
          </w:rPr>
          <w:t xml:space="preserve">sesiones de información en persona</w:t>
        </w:r>
      </w:hyperlink>
    </w:p>
    <w:p>
      <w:pPr>
        <w:pStyle w:val="BodyText"/>
        <w:ind w:left="881"/>
      </w:pPr>
      <w:hyperlink r:id="rId10">
        <w:r>
          <w:rPr>
            <w:color w:val="1154CC"/>
            <w:u w:val="thick" w:color="1154CC"/>
          </w:rPr>
          <w:t xml:space="preserve">registro de sesiones de información virtual</w:t>
        </w:r>
      </w:hyperlink>
    </w:p>
    <w:sectPr>
      <w:pgSz w:w="12240" w:h="15840"/>
      <w:pgMar w:header="750" w:footer="804" w:top="2180" w:bottom="10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pict>
        <v:shapetype id="_x0000_t202" o:spt="202" coordsize="21600,21600" path="m,l,21600r21600,l21600,xe">
          <v:stroke joinstyle="miter"/>
          <v:path gradientshapeok="t" o:connecttype="rect"/>
        </v:shapetype>
        <v:shape style="position:absolute;margin-left:69pt;margin-top:740.813599pt;width:13.15pt;height:14.3pt;mso-position-horizontal-relative:page;mso-position-vertical-relative:page;z-index:-15814144" type="#_x0000_t202" id="docshape1"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drawing>
        <wp:anchor distT="0" distB="0" distL="0" distR="0" allowOverlap="1" layoutInCell="1" locked="0" behindDoc="1" simplePos="0" relativeHeight="487501824">
          <wp:simplePos x="0" y="0"/>
          <wp:positionH relativeFrom="page">
            <wp:posOffset>4267200</wp:posOffset>
          </wp:positionH>
          <wp:positionV relativeFrom="page">
            <wp:posOffset>476250</wp:posOffset>
          </wp:positionV>
          <wp:extent cx="2571750" cy="91439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571750" cy="9143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s-MX"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n-US" w:bidi="ar-SA"/>
    </w:rPr>
  </w:style>
  <w:style w:styleId="BodyText" w:type="paragraph">
    <w:name w:val="Body Text"/>
    <w:basedOn w:val="Normal"/>
    <w:uiPriority w:val="1"/>
    <w:qFormat/>
    <w:pPr/>
    <w:rPr>
      <w:rFonts w:ascii="Arial" w:hAnsi="Arial" w:eastAsia="Arial" w:cs="Arial"/>
      <w:sz w:val="22"/>
      <w:szCs w:val="22"/>
      <w:lang w:val="es-MX" w:eastAsia="en-US" w:bidi="ar-SA"/>
    </w:rPr>
  </w:style>
  <w:style w:styleId="Heading1" w:type="paragraph">
    <w:name w:val="Heading 1"/>
    <w:basedOn w:val="Normal"/>
    <w:uiPriority w:val="1"/>
    <w:qFormat/>
    <w:pPr>
      <w:ind w:left="100"/>
      <w:outlineLvl w:val="1"/>
    </w:pPr>
    <w:rPr>
      <w:rFonts w:ascii="Arial" w:hAnsi="Arial" w:eastAsia="Arial" w:cs="Arial"/>
      <w:sz w:val="28"/>
      <w:szCs w:val="28"/>
      <w:lang w:val="es-MX" w:eastAsia="en-US" w:bidi="ar-SA"/>
    </w:rPr>
  </w:style>
  <w:style w:styleId="Title" w:type="paragraph">
    <w:name w:val="Title"/>
    <w:basedOn w:val="Normal"/>
    <w:uiPriority w:val="1"/>
    <w:qFormat/>
    <w:pPr>
      <w:spacing w:before="52"/>
      <w:ind w:left="100"/>
    </w:pPr>
    <w:rPr>
      <w:rFonts w:ascii="Arial" w:hAnsi="Arial" w:eastAsia="Arial" w:cs="Arial"/>
      <w:b/>
      <w:bCs/>
      <w:sz w:val="32"/>
      <w:szCs w:val="32"/>
      <w:lang w:val="es-MX" w:eastAsia="en-US" w:bidi="ar-SA"/>
    </w:rPr>
  </w:style>
  <w:style w:styleId="ListParagraph" w:type="paragraph">
    <w:name w:val="List Paragraph"/>
    <w:basedOn w:val="Normal"/>
    <w:uiPriority w:val="1"/>
    <w:qFormat/>
    <w:pPr>
      <w:ind w:left="820" w:hanging="360"/>
    </w:pPr>
    <w:rPr>
      <w:rFonts w:ascii="Arial" w:hAnsi="Arial" w:eastAsia="Arial" w:cs="Arial"/>
      <w:lang w:val="es-MX" w:eastAsia="en-US" w:bidi="ar-SA"/>
    </w:rPr>
  </w:style>
  <w:style w:styleId="TableParagraph" w:type="paragraph">
    <w:name w:val="Table Paragraph"/>
    <w:basedOn w:val="Normal"/>
    <w:uiPriority w:val="1"/>
    <w:qFormat/>
    <w:pPr>
      <w:spacing w:before="105"/>
      <w:ind w:left="105"/>
    </w:pPr>
    <w:rPr>
      <w:rFonts w:ascii="Arial" w:hAnsi="Arial" w:eastAsia="Arial" w:cs="Arial"/>
      <w:lang w:val="es-MX" w:eastAsia="en-US" w:bidi="ar-SA"/>
    </w:rPr>
  </w:style>
</w:styles>
</file>

<file path=word/_rels/document.xml.rels>&#65279;<?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envirocenter.org/programs/rethink-waste-project/community-innovation-fund/community-innovation-fund-application-2023/" TargetMode="External"/><Relationship Id="rId8" Type="http://schemas.openxmlformats.org/officeDocument/2006/relationships/hyperlink" Target="mailto:udara@envirocenter.org" TargetMode="External"/><Relationship Id="rId9" Type="http://schemas.openxmlformats.org/officeDocument/2006/relationships/hyperlink" Target="https://www.eventbrite.com/e/500333680507" TargetMode="External"/><Relationship Id="rId10" Type="http://schemas.openxmlformats.org/officeDocument/2006/relationships/hyperlink" Target="https://www.eventbrite.com/e/virtual-rethink-waste-community-innovation-fund-info-session-tickets-500345014407"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2023-01-12T04:01:40Z</dcterms:created>
  <dcterms:modified xsi:type="dcterms:W3CDTF">2023-01-12T04:01:40Z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2023-01-12T00:00:00Z</vt:filetime>
  </property>
  <property fmtid="{D5CDD505-2E9C-101B-9397-08002B2CF9AE}" pid="3" name="Producer">
    <vt:lpwstr>iLovePDF</vt:lpwstr>
  </property>
</Properties>
</file>